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textAlignment w:val="center"/>
        <w:rPr>
          <w:rFonts w:ascii="Times New Roman" w:hAnsi="Times New Roman" w:eastAsia="仿宋_GB2312"/>
          <w:sz w:val="32"/>
          <w:szCs w:val="32"/>
        </w:rPr>
      </w:pPr>
      <w:r>
        <w:rPr>
          <w:rFonts w:ascii="Times New Roman" w:hAnsi="Times New Roman" w:eastAsia="仿宋_GB2312"/>
          <w:sz w:val="32"/>
          <w:szCs w:val="32"/>
        </w:rPr>
        <w:t>附件2：</w:t>
      </w:r>
    </w:p>
    <w:p>
      <w:pPr>
        <w:adjustRightInd w:val="0"/>
        <w:textAlignment w:val="center"/>
        <w:rPr>
          <w:rFonts w:ascii="Times New Roman" w:hAnsi="Times New Roman" w:eastAsia="仿宋_GB2312"/>
          <w:kern w:val="0"/>
          <w:sz w:val="32"/>
          <w:szCs w:val="32"/>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方正小标宋_GBK"/>
          <w:kern w:val="0"/>
          <w:sz w:val="42"/>
          <w:szCs w:val="42"/>
        </w:rPr>
      </w:pPr>
    </w:p>
    <w:p>
      <w:pPr>
        <w:adjustRightInd w:val="0"/>
        <w:spacing w:line="720" w:lineRule="exact"/>
        <w:jc w:val="center"/>
        <w:textAlignment w:val="center"/>
        <w:rPr>
          <w:rFonts w:ascii="Times New Roman" w:hAnsi="Times New Roman" w:eastAsia="方正小标宋_GBK"/>
          <w:kern w:val="0"/>
          <w:sz w:val="46"/>
          <w:szCs w:val="42"/>
        </w:rPr>
      </w:pPr>
      <w:r>
        <w:rPr>
          <w:rFonts w:ascii="Times New Roman" w:hAnsi="Times New Roman" w:eastAsia="方正小标宋_GBK"/>
          <w:kern w:val="0"/>
          <w:sz w:val="46"/>
          <w:szCs w:val="42"/>
        </w:rPr>
        <w:t>湖南省地方标准</w:t>
      </w:r>
    </w:p>
    <w:p>
      <w:pPr>
        <w:adjustRightInd w:val="0"/>
        <w:spacing w:line="720" w:lineRule="exact"/>
        <w:jc w:val="center"/>
        <w:textAlignment w:val="center"/>
        <w:rPr>
          <w:rFonts w:ascii="Times New Roman" w:hAnsi="Times New Roman" w:eastAsia="方正小标宋_GBK"/>
          <w:kern w:val="0"/>
          <w:sz w:val="46"/>
          <w:szCs w:val="42"/>
        </w:rPr>
      </w:pPr>
      <w:r>
        <w:rPr>
          <w:rFonts w:hint="eastAsia" w:ascii="Times New Roman" w:hAnsi="Times New Roman" w:eastAsia="方正小标宋_GBK"/>
          <w:kern w:val="0"/>
          <w:sz w:val="46"/>
          <w:szCs w:val="42"/>
        </w:rPr>
        <w:t>设计产业园公共服务平台建设和管理规范</w:t>
      </w:r>
    </w:p>
    <w:p>
      <w:pPr>
        <w:adjustRightInd w:val="0"/>
        <w:spacing w:line="720" w:lineRule="exact"/>
        <w:jc w:val="center"/>
        <w:textAlignment w:val="center"/>
        <w:rPr>
          <w:rFonts w:ascii="Times New Roman" w:hAnsi="Times New Roman" w:eastAsia="方正小标宋_GBK"/>
          <w:kern w:val="0"/>
          <w:sz w:val="46"/>
          <w:szCs w:val="42"/>
        </w:rPr>
      </w:pPr>
      <w:r>
        <w:rPr>
          <w:rFonts w:ascii="Times New Roman" w:hAnsi="Times New Roman" w:eastAsia="方正小标宋_GBK"/>
          <w:kern w:val="0"/>
          <w:sz w:val="46"/>
          <w:szCs w:val="42"/>
        </w:rPr>
        <w:t>编制说明</w:t>
      </w:r>
    </w:p>
    <w:p>
      <w:pPr>
        <w:adjustRightInd w:val="0"/>
        <w:spacing w:line="720" w:lineRule="exact"/>
        <w:jc w:val="center"/>
        <w:textAlignment w:val="center"/>
        <w:rPr>
          <w:rFonts w:ascii="Times New Roman" w:hAnsi="Times New Roman" w:eastAsia="方正小标宋_GBK"/>
          <w:kern w:val="0"/>
          <w:sz w:val="46"/>
          <w:szCs w:val="42"/>
        </w:rPr>
      </w:pPr>
      <w:r>
        <w:rPr>
          <w:rFonts w:ascii="Times New Roman" w:hAnsi="Times New Roman" w:eastAsia="方正小标宋_GBK"/>
          <w:kern w:val="0"/>
          <w:sz w:val="46"/>
          <w:szCs w:val="42"/>
        </w:rPr>
        <w:t>（征求意见稿）</w:t>
      </w:r>
    </w:p>
    <w:p>
      <w:pPr>
        <w:adjustRightInd w:val="0"/>
        <w:jc w:val="center"/>
        <w:textAlignment w:val="center"/>
        <w:rPr>
          <w:rFonts w:ascii="Times New Roman" w:hAnsi="Times New Roman" w:eastAsia="方正小标宋_GBK"/>
          <w:kern w:val="0"/>
          <w:sz w:val="42"/>
          <w:szCs w:val="42"/>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黑体"/>
          <w:kern w:val="0"/>
          <w:sz w:val="36"/>
          <w:szCs w:val="36"/>
        </w:rPr>
      </w:pPr>
    </w:p>
    <w:p>
      <w:pPr>
        <w:adjustRightInd w:val="0"/>
        <w:jc w:val="center"/>
        <w:textAlignment w:val="center"/>
        <w:rPr>
          <w:rFonts w:ascii="Times New Roman" w:hAnsi="Times New Roman" w:eastAsia="楷体_GB2312"/>
          <w:kern w:val="0"/>
          <w:sz w:val="38"/>
          <w:szCs w:val="28"/>
        </w:rPr>
      </w:pPr>
      <w:r>
        <w:rPr>
          <w:rFonts w:ascii="Times New Roman" w:hAnsi="Times New Roman" w:eastAsia="楷体_GB2312"/>
          <w:kern w:val="0"/>
          <w:sz w:val="38"/>
          <w:szCs w:val="28"/>
        </w:rPr>
        <w:t>201</w:t>
      </w:r>
      <w:r>
        <w:rPr>
          <w:rFonts w:hint="eastAsia" w:ascii="Times New Roman" w:hAnsi="Times New Roman" w:eastAsia="楷体_GB2312"/>
          <w:kern w:val="0"/>
          <w:sz w:val="38"/>
          <w:szCs w:val="28"/>
        </w:rPr>
        <w:t>9</w:t>
      </w:r>
      <w:r>
        <w:rPr>
          <w:rFonts w:ascii="Times New Roman" w:hAnsi="Times New Roman" w:eastAsia="楷体_GB2312"/>
          <w:kern w:val="0"/>
          <w:sz w:val="38"/>
          <w:szCs w:val="28"/>
        </w:rPr>
        <w:t>年</w:t>
      </w:r>
      <w:r>
        <w:rPr>
          <w:rFonts w:hint="eastAsia" w:ascii="Times New Roman" w:hAnsi="Times New Roman" w:eastAsia="楷体_GB2312"/>
          <w:kern w:val="0"/>
          <w:sz w:val="38"/>
          <w:szCs w:val="28"/>
        </w:rPr>
        <w:t>12</w:t>
      </w:r>
      <w:r>
        <w:rPr>
          <w:rFonts w:ascii="Times New Roman" w:hAnsi="Times New Roman" w:eastAsia="楷体_GB2312"/>
          <w:kern w:val="0"/>
          <w:sz w:val="38"/>
          <w:szCs w:val="28"/>
        </w:rPr>
        <w:t>月</w:t>
      </w:r>
    </w:p>
    <w:p>
      <w:pPr>
        <w:adjustRightInd w:val="0"/>
        <w:jc w:val="center"/>
        <w:textAlignment w:val="center"/>
        <w:rPr>
          <w:rFonts w:ascii="Times New Roman" w:hAnsi="Times New Roman" w:eastAsia="楷体_GB2312"/>
          <w:kern w:val="0"/>
          <w:sz w:val="38"/>
          <w:szCs w:val="28"/>
        </w:rPr>
      </w:pPr>
    </w:p>
    <w:p>
      <w:pPr>
        <w:adjustRightInd w:val="0"/>
        <w:jc w:val="center"/>
        <w:textAlignment w:val="center"/>
        <w:rPr>
          <w:rFonts w:ascii="Times New Roman" w:hAnsi="Times New Roman" w:eastAsia="黑体"/>
          <w:kern w:val="0"/>
          <w:sz w:val="28"/>
          <w:szCs w:val="28"/>
        </w:rPr>
      </w:pPr>
    </w:p>
    <w:p>
      <w:pPr>
        <w:adjustRightInd w:val="0"/>
        <w:spacing w:line="660" w:lineRule="exact"/>
        <w:jc w:val="center"/>
        <w:textAlignment w:val="center"/>
        <w:rPr>
          <w:rFonts w:ascii="Times New Roman" w:hAnsi="Times New Roman" w:eastAsia="方正小标宋_GBK"/>
          <w:sz w:val="44"/>
          <w:szCs w:val="44"/>
        </w:rPr>
      </w:pPr>
    </w:p>
    <w:p>
      <w:pPr>
        <w:adjustRightInd w:val="0"/>
        <w:spacing w:after="100" w:afterAutospacing="1" w:line="660" w:lineRule="exact"/>
        <w:jc w:val="center"/>
        <w:textAlignment w:val="center"/>
        <w:rPr>
          <w:rFonts w:ascii="Times New Roman" w:hAnsi="Times New Roman" w:eastAsia="黑体"/>
          <w:sz w:val="36"/>
          <w:szCs w:val="36"/>
        </w:rPr>
      </w:pPr>
      <w:r>
        <w:rPr>
          <w:rFonts w:ascii="Times New Roman" w:hAnsi="Times New Roman" w:eastAsia="方正小标宋_GBK"/>
          <w:sz w:val="44"/>
          <w:szCs w:val="44"/>
        </w:rPr>
        <w:t>目  录</w:t>
      </w:r>
    </w:p>
    <w:p>
      <w:pPr>
        <w:pStyle w:val="3"/>
        <w:tabs>
          <w:tab w:val="right" w:leader="dot" w:pos="8296"/>
        </w:tabs>
        <w:spacing w:line="660" w:lineRule="exact"/>
        <w:jc w:val="left"/>
        <w:rPr>
          <w:rFonts w:ascii="Times New Roman" w:hAnsi="Times New Roman" w:eastAsia="仿宋_GB2312"/>
          <w:sz w:val="32"/>
          <w:szCs w:val="32"/>
        </w:rPr>
      </w:pPr>
      <w:r>
        <w:rPr>
          <w:rFonts w:ascii="Times New Roman" w:hAnsi="Times New Roman" w:eastAsia="仿宋_GB2312"/>
          <w:sz w:val="32"/>
          <w:szCs w:val="32"/>
        </w:rPr>
        <w:fldChar w:fldCharType="begin"/>
      </w:r>
      <w:r>
        <w:rPr>
          <w:rStyle w:val="9"/>
          <w:rFonts w:ascii="Times New Roman" w:hAnsi="Times New Roman" w:eastAsia="仿宋_GB2312"/>
          <w:sz w:val="32"/>
          <w:szCs w:val="32"/>
        </w:rPr>
        <w:instrText xml:space="preserve">TOC \o "1-3" \h \u </w:instrText>
      </w:r>
      <w:r>
        <w:rPr>
          <w:rFonts w:ascii="Times New Roman" w:hAnsi="Times New Roman" w:eastAsia="仿宋_GB2312"/>
          <w:sz w:val="32"/>
          <w:szCs w:val="32"/>
        </w:rPr>
        <w:fldChar w:fldCharType="separate"/>
      </w:r>
      <w:r>
        <w:fldChar w:fldCharType="begin"/>
      </w:r>
      <w:r>
        <w:instrText xml:space="preserve"> HYPERLINK \l "_Toc505259132" </w:instrText>
      </w:r>
      <w:r>
        <w:fldChar w:fldCharType="separate"/>
      </w:r>
      <w:r>
        <w:rPr>
          <w:rStyle w:val="9"/>
          <w:rFonts w:ascii="Times New Roman" w:hAnsi="Times New Roman" w:eastAsia="仿宋_GB2312"/>
          <w:sz w:val="32"/>
          <w:szCs w:val="32"/>
        </w:rPr>
        <w:t>一、工作简况</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_Toc505259132 \h </w:instrText>
      </w:r>
      <w:r>
        <w:rPr>
          <w:rFonts w:ascii="Times New Roman" w:hAnsi="Times New Roman" w:eastAsia="仿宋_GB2312"/>
          <w:sz w:val="32"/>
          <w:szCs w:val="32"/>
        </w:rPr>
        <w:fldChar w:fldCharType="separate"/>
      </w:r>
      <w:r>
        <w:rPr>
          <w:rFonts w:ascii="Times New Roman" w:hAnsi="Times New Roman" w:eastAsia="仿宋_GB2312"/>
          <w:sz w:val="32"/>
          <w:szCs w:val="32"/>
        </w:rPr>
        <w:t>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3"/>
        <w:tabs>
          <w:tab w:val="right" w:leader="dot" w:pos="8296"/>
        </w:tabs>
        <w:spacing w:line="660" w:lineRule="exact"/>
        <w:jc w:val="left"/>
        <w:rPr>
          <w:rFonts w:ascii="Times New Roman" w:hAnsi="Times New Roman" w:eastAsia="仿宋_GB2312"/>
          <w:sz w:val="32"/>
          <w:szCs w:val="32"/>
        </w:rPr>
      </w:pPr>
      <w:r>
        <w:fldChar w:fldCharType="begin"/>
      </w:r>
      <w:r>
        <w:instrText xml:space="preserve"> HYPERLINK \l "_Toc505259133" </w:instrText>
      </w:r>
      <w:r>
        <w:fldChar w:fldCharType="separate"/>
      </w:r>
      <w:r>
        <w:rPr>
          <w:rStyle w:val="9"/>
          <w:rFonts w:ascii="Times New Roman" w:hAnsi="Times New Roman" w:eastAsia="仿宋_GB2312"/>
          <w:sz w:val="32"/>
          <w:szCs w:val="32"/>
        </w:rPr>
        <w:t>二、标准编制原则、主要内容及确定依据</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_Toc505259133 \h </w:instrText>
      </w:r>
      <w:r>
        <w:rPr>
          <w:rFonts w:ascii="Times New Roman" w:hAnsi="Times New Roman" w:eastAsia="仿宋_GB2312"/>
          <w:sz w:val="32"/>
          <w:szCs w:val="32"/>
        </w:rPr>
        <w:fldChar w:fldCharType="separate"/>
      </w:r>
      <w:r>
        <w:rPr>
          <w:rFonts w:ascii="Times New Roman" w:hAnsi="Times New Roman" w:eastAsia="仿宋_GB2312"/>
          <w:sz w:val="32"/>
          <w:szCs w:val="32"/>
        </w:rPr>
        <w:t>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3"/>
        <w:tabs>
          <w:tab w:val="right" w:leader="dot" w:pos="8296"/>
        </w:tabs>
        <w:spacing w:line="660" w:lineRule="exact"/>
        <w:jc w:val="left"/>
        <w:rPr>
          <w:rFonts w:ascii="Times New Roman" w:hAnsi="Times New Roman" w:eastAsia="仿宋_GB2312"/>
          <w:sz w:val="32"/>
          <w:szCs w:val="32"/>
        </w:rPr>
      </w:pPr>
      <w:r>
        <w:fldChar w:fldCharType="begin"/>
      </w:r>
      <w:r>
        <w:instrText xml:space="preserve"> HYPERLINK \l "_Toc505259134" </w:instrText>
      </w:r>
      <w:r>
        <w:fldChar w:fldCharType="separate"/>
      </w:r>
      <w:r>
        <w:rPr>
          <w:rStyle w:val="9"/>
          <w:rFonts w:ascii="Times New Roman" w:hAnsi="Times New Roman" w:eastAsia="仿宋_GB2312"/>
          <w:sz w:val="32"/>
          <w:szCs w:val="32"/>
        </w:rPr>
        <w:t>三、采用国际标准和国外先进标准的程度</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_Toc505259134 \h </w:instrText>
      </w:r>
      <w:r>
        <w:rPr>
          <w:rFonts w:ascii="Times New Roman" w:hAnsi="Times New Roman" w:eastAsia="仿宋_GB2312"/>
          <w:sz w:val="32"/>
          <w:szCs w:val="32"/>
        </w:rPr>
        <w:fldChar w:fldCharType="separate"/>
      </w:r>
      <w:r>
        <w:rPr>
          <w:rFonts w:ascii="Times New Roman" w:hAnsi="Times New Roman" w:eastAsia="仿宋_GB2312"/>
          <w:sz w:val="32"/>
          <w:szCs w:val="32"/>
        </w:rPr>
        <w:t>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3"/>
        <w:tabs>
          <w:tab w:val="right" w:leader="dot" w:pos="8296"/>
        </w:tabs>
        <w:spacing w:line="660" w:lineRule="exact"/>
        <w:jc w:val="left"/>
        <w:rPr>
          <w:rFonts w:ascii="Times New Roman" w:hAnsi="Times New Roman" w:eastAsia="仿宋_GB2312"/>
          <w:sz w:val="32"/>
          <w:szCs w:val="32"/>
        </w:rPr>
      </w:pPr>
      <w:r>
        <w:fldChar w:fldCharType="begin"/>
      </w:r>
      <w:r>
        <w:instrText xml:space="preserve"> HYPERLINK \l "_Toc505259135" </w:instrText>
      </w:r>
      <w:r>
        <w:fldChar w:fldCharType="separate"/>
      </w:r>
      <w:r>
        <w:rPr>
          <w:rStyle w:val="9"/>
          <w:rFonts w:ascii="Times New Roman" w:hAnsi="Times New Roman" w:eastAsia="仿宋_GB2312"/>
          <w:sz w:val="32"/>
          <w:szCs w:val="32"/>
        </w:rPr>
        <w:t>四、</w:t>
      </w:r>
      <w:r>
        <w:rPr>
          <w:rStyle w:val="9"/>
          <w:rFonts w:ascii="Times New Roman" w:hAnsi="Times New Roman" w:eastAsia="仿宋_GB2312"/>
          <w:spacing w:val="-17"/>
          <w:sz w:val="32"/>
          <w:szCs w:val="32"/>
        </w:rPr>
        <w:t>与有关的现行法律、法规和强制性国家标准的关系</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_Toc505259135 \h </w:instrText>
      </w:r>
      <w:r>
        <w:rPr>
          <w:rFonts w:ascii="Times New Roman" w:hAnsi="Times New Roman" w:eastAsia="仿宋_GB2312"/>
          <w:sz w:val="32"/>
          <w:szCs w:val="32"/>
        </w:rPr>
        <w:fldChar w:fldCharType="separate"/>
      </w:r>
      <w:r>
        <w:rPr>
          <w:rFonts w:ascii="Times New Roman" w:hAnsi="Times New Roman" w:eastAsia="仿宋_GB2312"/>
          <w:sz w:val="32"/>
          <w:szCs w:val="32"/>
        </w:rPr>
        <w:t>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3"/>
        <w:tabs>
          <w:tab w:val="right" w:leader="dot" w:pos="8296"/>
        </w:tabs>
        <w:spacing w:line="660" w:lineRule="exact"/>
        <w:jc w:val="left"/>
        <w:rPr>
          <w:rFonts w:ascii="Times New Roman" w:hAnsi="Times New Roman" w:eastAsia="仿宋_GB2312"/>
          <w:sz w:val="32"/>
          <w:szCs w:val="32"/>
        </w:rPr>
      </w:pPr>
      <w:r>
        <w:fldChar w:fldCharType="begin"/>
      </w:r>
      <w:r>
        <w:instrText xml:space="preserve"> HYPERLINK \l "_Toc505259136" </w:instrText>
      </w:r>
      <w:r>
        <w:fldChar w:fldCharType="separate"/>
      </w:r>
      <w:r>
        <w:rPr>
          <w:rStyle w:val="9"/>
          <w:rFonts w:ascii="Times New Roman" w:hAnsi="Times New Roman" w:eastAsia="仿宋_GB2312"/>
          <w:sz w:val="32"/>
          <w:szCs w:val="32"/>
        </w:rPr>
        <w:t>五、重大分歧意见的处理经过和依据</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_Toc505259136 \h </w:instrText>
      </w:r>
      <w:r>
        <w:rPr>
          <w:rFonts w:ascii="Times New Roman" w:hAnsi="Times New Roman" w:eastAsia="仿宋_GB2312"/>
          <w:sz w:val="32"/>
          <w:szCs w:val="32"/>
        </w:rPr>
        <w:fldChar w:fldCharType="separate"/>
      </w:r>
      <w:r>
        <w:rPr>
          <w:rFonts w:ascii="Times New Roman" w:hAnsi="Times New Roman" w:eastAsia="仿宋_GB2312"/>
          <w:sz w:val="32"/>
          <w:szCs w:val="32"/>
        </w:rPr>
        <w:t>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3"/>
        <w:tabs>
          <w:tab w:val="right" w:leader="dot" w:pos="8296"/>
        </w:tabs>
        <w:spacing w:line="660" w:lineRule="exact"/>
        <w:jc w:val="left"/>
        <w:rPr>
          <w:rFonts w:ascii="Times New Roman" w:hAnsi="Times New Roman" w:eastAsia="仿宋_GB2312"/>
          <w:sz w:val="32"/>
          <w:szCs w:val="32"/>
        </w:rPr>
      </w:pPr>
      <w:r>
        <w:fldChar w:fldCharType="begin"/>
      </w:r>
      <w:r>
        <w:instrText xml:space="preserve"> HYPERLINK \l "_Toc505259137" </w:instrText>
      </w:r>
      <w:r>
        <w:fldChar w:fldCharType="separate"/>
      </w:r>
      <w:r>
        <w:rPr>
          <w:rStyle w:val="9"/>
          <w:rFonts w:ascii="Times New Roman" w:hAnsi="Times New Roman" w:eastAsia="仿宋_GB2312"/>
          <w:sz w:val="32"/>
          <w:szCs w:val="32"/>
        </w:rPr>
        <w:t>六、贯彻标准的要求和措施建议</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_Toc505259137 \h </w:instrText>
      </w:r>
      <w:r>
        <w:rPr>
          <w:rFonts w:ascii="Times New Roman" w:hAnsi="Times New Roman" w:eastAsia="仿宋_GB2312"/>
          <w:sz w:val="32"/>
          <w:szCs w:val="32"/>
        </w:rPr>
        <w:fldChar w:fldCharType="separate"/>
      </w:r>
      <w:r>
        <w:rPr>
          <w:rFonts w:ascii="Times New Roman" w:hAnsi="Times New Roman" w:eastAsia="仿宋_GB2312"/>
          <w:sz w:val="32"/>
          <w:szCs w:val="32"/>
        </w:rPr>
        <w:t>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3"/>
        <w:tabs>
          <w:tab w:val="right" w:leader="dot" w:pos="8296"/>
        </w:tabs>
        <w:spacing w:line="660" w:lineRule="exact"/>
        <w:ind w:left="0" w:leftChars="0"/>
        <w:jc w:val="left"/>
        <w:rPr>
          <w:rStyle w:val="9"/>
          <w:rFonts w:ascii="Times New Roman" w:hAnsi="Times New Roman"/>
          <w:sz w:val="28"/>
          <w:szCs w:val="28"/>
        </w:rPr>
        <w:sectPr>
          <w:pgSz w:w="11906" w:h="16838"/>
          <w:pgMar w:top="1871" w:right="1531" w:bottom="1531" w:left="1588" w:header="851" w:footer="1304" w:gutter="0"/>
          <w:cols w:space="720" w:num="1"/>
          <w:docGrid w:type="lines" w:linePitch="312" w:charSpace="0"/>
        </w:sectPr>
      </w:pPr>
      <w:r>
        <w:rPr>
          <w:rFonts w:ascii="Times New Roman" w:hAnsi="Times New Roman" w:eastAsia="仿宋_GB2312"/>
          <w:sz w:val="32"/>
          <w:szCs w:val="32"/>
        </w:rPr>
        <w:fldChar w:fldCharType="end"/>
      </w:r>
    </w:p>
    <w:p>
      <w:pPr>
        <w:pStyle w:val="2"/>
        <w:spacing w:before="0" w:after="0" w:line="568" w:lineRule="exact"/>
        <w:ind w:firstLine="640" w:firstLineChars="200"/>
        <w:rPr>
          <w:rFonts w:ascii="黑体" w:hAnsi="黑体" w:eastAsia="黑体"/>
          <w:b w:val="0"/>
        </w:rPr>
      </w:pPr>
      <w:bookmarkStart w:id="0" w:name="_Toc505259132"/>
      <w:r>
        <w:rPr>
          <w:rFonts w:ascii="黑体" w:hAnsi="黑体" w:eastAsia="黑体"/>
          <w:b w:val="0"/>
        </w:rPr>
        <w:t>一、工作简况</w:t>
      </w:r>
      <w:bookmarkEnd w:id="0"/>
    </w:p>
    <w:p>
      <w:pPr>
        <w:spacing w:line="568"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1项目来源</w:t>
      </w:r>
    </w:p>
    <w:p>
      <w:pPr>
        <w:spacing w:line="56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根据《湖南省质量技术监督局关于下达2017年度第1批地方标准制修订项目计划的通知》，地方标准《</w:t>
      </w:r>
      <w:r>
        <w:rPr>
          <w:rFonts w:hint="eastAsia" w:ascii="Times New Roman" w:hAnsi="Times New Roman" w:eastAsia="仿宋_GB2312"/>
          <w:color w:val="000000"/>
          <w:sz w:val="32"/>
          <w:szCs w:val="32"/>
        </w:rPr>
        <w:t>设</w:t>
      </w:r>
      <w:bookmarkStart w:id="1" w:name="StandardName"/>
      <w:r>
        <w:rPr>
          <w:rFonts w:hint="eastAsia" w:ascii="Times New Roman" w:hAnsi="Times New Roman" w:eastAsia="仿宋_GB2312"/>
          <w:color w:val="000000"/>
          <w:sz w:val="32"/>
          <w:szCs w:val="32"/>
        </w:rPr>
        <w:t>计产业园公共服务平台建设和管理规范</w:t>
      </w:r>
      <w:bookmarkEnd w:id="1"/>
      <w:r>
        <w:rPr>
          <w:rFonts w:ascii="Times New Roman" w:hAnsi="Times New Roman" w:eastAsia="仿宋_GB2312"/>
          <w:color w:val="000000"/>
          <w:sz w:val="32"/>
          <w:szCs w:val="32"/>
        </w:rPr>
        <w:t>》由湖南省发展和改革委员会提出并归口，</w:t>
      </w:r>
      <w:r>
        <w:rPr>
          <w:rFonts w:hint="eastAsia" w:ascii="Times New Roman" w:hAnsi="Times New Roman" w:eastAsia="仿宋_GB2312"/>
          <w:color w:val="000000"/>
          <w:sz w:val="32"/>
          <w:szCs w:val="32"/>
        </w:rPr>
        <w:t>湖南同天投资管理有限公司</w:t>
      </w:r>
      <w:r>
        <w:rPr>
          <w:rFonts w:ascii="Times New Roman" w:hAnsi="Times New Roman" w:eastAsia="仿宋_GB2312"/>
          <w:color w:val="000000"/>
          <w:sz w:val="32"/>
          <w:szCs w:val="32"/>
        </w:rPr>
        <w:t>等单位编制起草。</w:t>
      </w:r>
    </w:p>
    <w:p>
      <w:pPr>
        <w:spacing w:line="568"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2 标准制定的背景、目的、意义</w:t>
      </w:r>
    </w:p>
    <w:p>
      <w:pPr>
        <w:widowControl/>
        <w:spacing w:line="568" w:lineRule="exact"/>
        <w:ind w:firstLine="640" w:firstLineChars="200"/>
        <w:rPr>
          <w:rFonts w:ascii="Times New Roman" w:hAnsi="Times New Roman" w:eastAsia="仿宋_GB2312"/>
          <w:color w:val="000000"/>
          <w:sz w:val="32"/>
          <w:szCs w:val="32"/>
          <w:highlight w:val="yellow"/>
        </w:rPr>
      </w:pPr>
      <w:r>
        <w:rPr>
          <w:rFonts w:hint="eastAsia" w:ascii="仿宋_GB2312" w:hAnsi="仿宋_GB2312" w:eastAsia="仿宋_GB2312" w:cs="仿宋_GB2312"/>
          <w:color w:val="000000"/>
          <w:sz w:val="32"/>
          <w:szCs w:val="32"/>
        </w:rPr>
        <w:t>近年来，我省设计产业发展迅速。2015年5月，湖南省经济和信息化委员会、湖南省财政厅联合印发了《</w:t>
      </w:r>
      <w:r>
        <w:rPr>
          <w:rFonts w:hint="eastAsia" w:ascii="仿宋_GB2312" w:hAnsi="仿宋_GB2312" w:eastAsia="仿宋_GB2312" w:cs="仿宋_GB2312"/>
          <w:color w:val="000000"/>
          <w:sz w:val="32"/>
          <w:szCs w:val="32"/>
          <w:shd w:val="clear" w:color="auto" w:fill="FFFFFF"/>
        </w:rPr>
        <w:t>关于加快湖南省工业设计产业发展的意</w:t>
      </w:r>
      <w:r>
        <w:rPr>
          <w:rFonts w:hint="eastAsia" w:ascii="Times New Roman" w:hAnsi="Times New Roman" w:eastAsia="仿宋_GB2312"/>
          <w:color w:val="000000"/>
          <w:sz w:val="32"/>
          <w:szCs w:val="32"/>
        </w:rPr>
        <w:t>见》，重点提出了</w:t>
      </w:r>
      <w:r>
        <w:rPr>
          <w:rFonts w:ascii="Times New Roman" w:hAnsi="Times New Roman" w:eastAsia="仿宋_GB2312"/>
          <w:color w:val="000000"/>
          <w:sz w:val="32"/>
          <w:szCs w:val="32"/>
        </w:rPr>
        <w:t>构</w:t>
      </w:r>
      <w:r>
        <w:rPr>
          <w:rFonts w:hint="eastAsia" w:ascii="仿宋_GB2312" w:hAnsi="仿宋_GB2312" w:eastAsia="仿宋_GB2312" w:cs="仿宋_GB2312"/>
          <w:color w:val="000000"/>
          <w:sz w:val="32"/>
          <w:szCs w:val="32"/>
        </w:rPr>
        <w:t>建工业设计公共服务平台的意见，并从加强设计创新平台建设、提升社会组织公共服务水平、做好人才培育和引进等方面提出了具体要求。各市区依据自身优势和实际情况</w:t>
      </w:r>
      <w:r>
        <w:rPr>
          <w:rFonts w:ascii="仿宋_GB2312" w:hAnsi="仿宋_GB2312" w:eastAsia="仿宋_GB2312" w:cs="仿宋_GB2312"/>
          <w:color w:val="000000"/>
          <w:sz w:val="32"/>
          <w:szCs w:val="32"/>
        </w:rPr>
        <w:t>纷纷创建</w:t>
      </w:r>
      <w:r>
        <w:rPr>
          <w:rFonts w:hint="eastAsia" w:ascii="仿宋_GB2312" w:hAnsi="仿宋_GB2312" w:eastAsia="仿宋_GB2312" w:cs="仿宋_GB2312"/>
          <w:color w:val="000000"/>
          <w:sz w:val="32"/>
          <w:szCs w:val="32"/>
        </w:rPr>
        <w:t>广告设计、文化创意、工业设计等设计类</w:t>
      </w:r>
      <w:r>
        <w:rPr>
          <w:rFonts w:ascii="仿宋_GB2312" w:hAnsi="仿宋_GB2312" w:eastAsia="仿宋_GB2312" w:cs="仿宋_GB2312"/>
          <w:color w:val="000000"/>
          <w:sz w:val="32"/>
          <w:szCs w:val="32"/>
        </w:rPr>
        <w:t>产业</w:t>
      </w:r>
      <w:r>
        <w:rPr>
          <w:rFonts w:hint="eastAsia" w:ascii="仿宋_GB2312" w:hAnsi="仿宋_GB2312" w:eastAsia="仿宋_GB2312" w:cs="仿宋_GB2312"/>
          <w:color w:val="000000"/>
          <w:sz w:val="32"/>
          <w:szCs w:val="32"/>
        </w:rPr>
        <w:t>园。</w:t>
      </w:r>
    </w:p>
    <w:p>
      <w:pPr>
        <w:widowControl/>
        <w:spacing w:line="56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设计产业园</w:t>
      </w:r>
      <w:r>
        <w:rPr>
          <w:rFonts w:ascii="Times New Roman" w:hAnsi="Times New Roman" w:eastAsia="仿宋_GB2312"/>
          <w:color w:val="000000"/>
          <w:sz w:val="32"/>
          <w:szCs w:val="32"/>
        </w:rPr>
        <w:t>的创建和发展，需要</w:t>
      </w:r>
      <w:r>
        <w:rPr>
          <w:rFonts w:hint="eastAsia" w:ascii="Times New Roman" w:hAnsi="Times New Roman" w:eastAsia="仿宋_GB2312"/>
          <w:color w:val="000000"/>
          <w:sz w:val="32"/>
          <w:szCs w:val="32"/>
        </w:rPr>
        <w:t>公共服务平台提供支撑，公共服务平台需要</w:t>
      </w:r>
      <w:r>
        <w:rPr>
          <w:rFonts w:ascii="Times New Roman" w:hAnsi="Times New Roman" w:eastAsia="仿宋_GB2312"/>
          <w:color w:val="000000"/>
          <w:sz w:val="32"/>
          <w:szCs w:val="32"/>
        </w:rPr>
        <w:t>相应的标准引领和规范，但目前</w:t>
      </w:r>
      <w:r>
        <w:rPr>
          <w:rFonts w:hint="eastAsia" w:ascii="Times New Roman" w:hAnsi="Times New Roman" w:eastAsia="仿宋_GB2312"/>
          <w:color w:val="000000"/>
          <w:sz w:val="32"/>
          <w:szCs w:val="32"/>
        </w:rPr>
        <w:t>湖南省乃至全国都</w:t>
      </w:r>
      <w:r>
        <w:rPr>
          <w:rFonts w:ascii="Times New Roman" w:hAnsi="Times New Roman" w:eastAsia="仿宋_GB2312"/>
          <w:color w:val="000000"/>
          <w:sz w:val="32"/>
          <w:szCs w:val="32"/>
        </w:rPr>
        <w:t>尚未制定相关标准，也无其他地方标准可供参考，根据工作需要我省有必要制定《</w:t>
      </w:r>
      <w:r>
        <w:rPr>
          <w:rFonts w:hint="eastAsia" w:ascii="Times New Roman" w:hAnsi="Times New Roman" w:eastAsia="仿宋_GB2312"/>
          <w:color w:val="000000"/>
          <w:sz w:val="32"/>
          <w:szCs w:val="32"/>
        </w:rPr>
        <w:t>设计产业园公共服务平台建设和管理规范</w:t>
      </w:r>
      <w:r>
        <w:rPr>
          <w:rFonts w:ascii="Times New Roman" w:hAnsi="Times New Roman" w:eastAsia="仿宋_GB2312"/>
          <w:color w:val="000000"/>
          <w:sz w:val="32"/>
          <w:szCs w:val="32"/>
        </w:rPr>
        <w:t>》地方标准。通过标准的制定和实施，一是可以总结、吸收国内</w:t>
      </w:r>
      <w:r>
        <w:rPr>
          <w:rFonts w:hint="eastAsia" w:ascii="Times New Roman" w:hAnsi="Times New Roman" w:eastAsia="仿宋_GB2312"/>
          <w:color w:val="000000"/>
          <w:sz w:val="32"/>
          <w:szCs w:val="32"/>
        </w:rPr>
        <w:t>设计产业园</w:t>
      </w:r>
      <w:r>
        <w:rPr>
          <w:rFonts w:ascii="Times New Roman" w:hAnsi="Times New Roman" w:eastAsia="仿宋_GB2312"/>
          <w:color w:val="000000"/>
          <w:sz w:val="32"/>
          <w:szCs w:val="32"/>
        </w:rPr>
        <w:t>和我省</w:t>
      </w:r>
      <w:r>
        <w:rPr>
          <w:rFonts w:hint="eastAsia" w:ascii="Times New Roman" w:hAnsi="Times New Roman" w:eastAsia="仿宋_GB2312"/>
          <w:color w:val="000000"/>
          <w:sz w:val="32"/>
          <w:szCs w:val="32"/>
        </w:rPr>
        <w:t>设计产业园公共服务平台</w:t>
      </w:r>
      <w:r>
        <w:rPr>
          <w:rFonts w:ascii="Times New Roman" w:hAnsi="Times New Roman" w:eastAsia="仿宋_GB2312"/>
          <w:color w:val="000000"/>
          <w:sz w:val="32"/>
          <w:szCs w:val="32"/>
        </w:rPr>
        <w:t>建设、运营、管理经验；二是可以为评价</w:t>
      </w:r>
      <w:r>
        <w:rPr>
          <w:rFonts w:hint="eastAsia" w:ascii="Times New Roman" w:hAnsi="Times New Roman" w:eastAsia="仿宋_GB2312"/>
          <w:color w:val="000000"/>
          <w:sz w:val="32"/>
          <w:szCs w:val="32"/>
        </w:rPr>
        <w:t>设计产业园公共服务</w:t>
      </w:r>
      <w:r>
        <w:rPr>
          <w:rFonts w:ascii="Times New Roman" w:hAnsi="Times New Roman" w:eastAsia="仿宋_GB2312"/>
          <w:color w:val="000000"/>
          <w:sz w:val="32"/>
          <w:szCs w:val="32"/>
        </w:rPr>
        <w:t>质量、</w:t>
      </w:r>
      <w:r>
        <w:rPr>
          <w:rFonts w:hint="eastAsia" w:ascii="Times New Roman" w:hAnsi="Times New Roman" w:eastAsia="仿宋_GB2312"/>
          <w:color w:val="000000"/>
          <w:sz w:val="32"/>
          <w:szCs w:val="32"/>
        </w:rPr>
        <w:t>水平、</w:t>
      </w:r>
      <w:r>
        <w:rPr>
          <w:rFonts w:ascii="Times New Roman" w:hAnsi="Times New Roman" w:eastAsia="仿宋_GB2312"/>
          <w:color w:val="000000"/>
          <w:sz w:val="32"/>
          <w:szCs w:val="32"/>
        </w:rPr>
        <w:t>成效提供依据和科学方法；三是为全省</w:t>
      </w:r>
      <w:r>
        <w:rPr>
          <w:rFonts w:hint="eastAsia" w:ascii="Times New Roman" w:hAnsi="Times New Roman" w:eastAsia="仿宋_GB2312"/>
          <w:color w:val="000000"/>
          <w:sz w:val="32"/>
          <w:szCs w:val="32"/>
        </w:rPr>
        <w:t>设计产业园公共服务平台</w:t>
      </w:r>
      <w:r>
        <w:rPr>
          <w:rFonts w:ascii="Times New Roman" w:hAnsi="Times New Roman" w:eastAsia="仿宋_GB2312"/>
          <w:color w:val="000000"/>
          <w:sz w:val="32"/>
          <w:szCs w:val="32"/>
        </w:rPr>
        <w:t>建设</w:t>
      </w:r>
      <w:r>
        <w:rPr>
          <w:rFonts w:hint="eastAsia" w:ascii="Times New Roman" w:hAnsi="Times New Roman" w:eastAsia="仿宋_GB2312"/>
          <w:color w:val="000000"/>
          <w:sz w:val="32"/>
          <w:szCs w:val="32"/>
        </w:rPr>
        <w:t>与管理</w:t>
      </w:r>
      <w:r>
        <w:rPr>
          <w:rFonts w:ascii="Times New Roman" w:hAnsi="Times New Roman" w:eastAsia="仿宋_GB2312"/>
          <w:color w:val="000000"/>
          <w:sz w:val="32"/>
          <w:szCs w:val="32"/>
        </w:rPr>
        <w:t>提供参考，</w:t>
      </w:r>
      <w:r>
        <w:rPr>
          <w:rFonts w:hint="eastAsia" w:ascii="Times New Roman" w:hAnsi="Times New Roman" w:eastAsia="仿宋_GB2312"/>
          <w:color w:val="000000"/>
          <w:sz w:val="32"/>
          <w:szCs w:val="32"/>
        </w:rPr>
        <w:t>建立规范、提供方法、解决争议。</w:t>
      </w:r>
    </w:p>
    <w:p>
      <w:pPr>
        <w:widowControl/>
        <w:spacing w:line="568" w:lineRule="exact"/>
        <w:ind w:firstLine="640" w:firstLineChars="200"/>
        <w:rPr>
          <w:rFonts w:ascii="Times New Roman" w:hAnsi="Times New Roman" w:eastAsia="仿宋_GB2312"/>
          <w:color w:val="000000"/>
          <w:sz w:val="32"/>
          <w:szCs w:val="32"/>
          <w:highlight w:val="yellow"/>
        </w:rPr>
      </w:pPr>
      <w:r>
        <w:rPr>
          <w:rFonts w:hint="eastAsia" w:ascii="Times New Roman" w:hAnsi="Times New Roman" w:eastAsia="仿宋_GB2312"/>
          <w:color w:val="000000"/>
          <w:sz w:val="32"/>
          <w:szCs w:val="32"/>
        </w:rPr>
        <w:t>标准从公共服务平台功能、公共服务平台建设、公共服务平台管理等方面作出了详细的规定。标准的制订，为我省设计类产业园的创建提供了正确的指引，为相关部门对设计产业园的管理提供了相关的评价依据，有助于我省设计产业健康、快速发展。</w:t>
      </w:r>
    </w:p>
    <w:p>
      <w:pPr>
        <w:spacing w:line="568"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3 主要工作过程</w:t>
      </w:r>
    </w:p>
    <w:p>
      <w:pPr>
        <w:widowControl/>
        <w:spacing w:line="56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2017年2月，湖南省质量技术监督局下达2017 年度第1 批地方标准制修订项目计划，确定将《设计产业园公共服务平台建设和管理规范》纳入我省地方标准制订计划。</w:t>
      </w:r>
    </w:p>
    <w:p>
      <w:pPr>
        <w:widowControl/>
        <w:spacing w:line="56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任务下达后，2017年6月，根据标准制定要求，湖南同天投资管理有限公司组织起草单位成立了标准起草组，并明确了起草工作要求和责任分工。</w:t>
      </w:r>
    </w:p>
    <w:p>
      <w:pPr>
        <w:widowControl/>
        <w:spacing w:line="56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2017年7月，标准起草组收集了国内与设计产业园公共服务平台相关的资料，同时总结了全国其他省市如上海、浙江、广东等地的经验，也了解了我省目前设计产业园发展现状及相关政策。标准起草组在资料整理的基础上，经过起草小组内部的讨论、修改，确定了标准基本框架。</w:t>
      </w:r>
    </w:p>
    <w:p>
      <w:pPr>
        <w:widowControl/>
        <w:spacing w:line="56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2017年8月，标准起草组成员赴广东顺德和江门调研，调研了广东工业设计城、南方教育装备创新产业城等公共服务建设与运营处于国内领先的设计类园区，了解了其发展情况，听取了其公共服务平台建设管理的相关经验，为本标准的制订提供有益借鉴。</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2017年9月-2017年10月，标准起草组成员赴湖南长沙、株洲、怀化等市区的设计类产业园进行调研，听取了湖南省设计类产业园的公共服务平台建设管理经验，收集了设计企业的公共服务需求。</w:t>
      </w:r>
    </w:p>
    <w:p>
      <w:pPr>
        <w:ind w:firstLine="640" w:firstLineChars="200"/>
        <w:rPr>
          <w:rFonts w:ascii="仿宋" w:hAnsi="仿宋" w:eastAsia="仿宋"/>
          <w:sz w:val="32"/>
          <w:szCs w:val="32"/>
        </w:rPr>
      </w:pPr>
      <w:r>
        <w:rPr>
          <w:rFonts w:hint="eastAsia" w:ascii="Times New Roman" w:hAnsi="Times New Roman" w:eastAsia="仿宋_GB2312"/>
          <w:color w:val="000000"/>
          <w:sz w:val="32"/>
          <w:szCs w:val="32"/>
        </w:rPr>
        <w:t>2017年12月，标准</w:t>
      </w:r>
      <w:r>
        <w:rPr>
          <w:rFonts w:hint="eastAsia" w:ascii="仿宋" w:hAnsi="仿宋" w:eastAsia="仿宋"/>
          <w:sz w:val="32"/>
          <w:szCs w:val="32"/>
        </w:rPr>
        <w:t>起草组按照标准的编写规则和基本思路进行</w:t>
      </w:r>
      <w:r>
        <w:rPr>
          <w:rFonts w:hint="eastAsia" w:ascii="Times New Roman" w:hAnsi="Times New Roman" w:eastAsia="仿宋_GB2312"/>
          <w:color w:val="000000"/>
          <w:sz w:val="32"/>
          <w:szCs w:val="32"/>
        </w:rPr>
        <w:t>集中讨论</w:t>
      </w:r>
      <w:r>
        <w:rPr>
          <w:rFonts w:hint="eastAsia" w:ascii="仿宋" w:hAnsi="仿宋" w:eastAsia="仿宋"/>
          <w:sz w:val="32"/>
          <w:szCs w:val="32"/>
        </w:rPr>
        <w:t>，拟定了标准框架和草案。在起草标准的同时，多次在质标院、长沙设计园进行讨论、修改，完成了标准的初稿。</w:t>
      </w:r>
    </w:p>
    <w:p>
      <w:pPr>
        <w:ind w:firstLine="640" w:firstLineChars="200"/>
        <w:rPr>
          <w:rFonts w:ascii="Times New Roman" w:hAnsi="Times New Roman" w:eastAsia="仿宋"/>
          <w:color w:val="000000"/>
          <w:sz w:val="32"/>
          <w:szCs w:val="32"/>
          <w:highlight w:val="none"/>
        </w:rPr>
      </w:pPr>
      <w:r>
        <w:rPr>
          <w:rFonts w:hint="eastAsia" w:ascii="Times New Roman" w:hAnsi="Times New Roman" w:eastAsia="仿宋_GB2312"/>
          <w:color w:val="000000"/>
          <w:sz w:val="32"/>
          <w:szCs w:val="32"/>
        </w:rPr>
        <w:t>2018年4月-5月，标准</w:t>
      </w:r>
      <w:r>
        <w:rPr>
          <w:rFonts w:hint="eastAsia" w:ascii="仿宋" w:hAnsi="仿宋" w:eastAsia="仿宋"/>
          <w:sz w:val="32"/>
          <w:szCs w:val="32"/>
        </w:rPr>
        <w:t>起草组请教了多位设计专家，对标</w:t>
      </w:r>
      <w:r>
        <w:rPr>
          <w:rFonts w:hint="eastAsia" w:ascii="仿宋" w:hAnsi="仿宋" w:eastAsia="仿宋"/>
          <w:sz w:val="32"/>
          <w:szCs w:val="32"/>
          <w:highlight w:val="none"/>
        </w:rPr>
        <w:t>准的初稿提出意见和建议，根据反馈进行修改和完善，</w:t>
      </w:r>
      <w:r>
        <w:rPr>
          <w:rFonts w:hint="eastAsia" w:ascii="Times New Roman" w:hAnsi="Times New Roman" w:eastAsia="仿宋_GB2312"/>
          <w:color w:val="000000"/>
          <w:sz w:val="32"/>
          <w:szCs w:val="32"/>
          <w:highlight w:val="none"/>
        </w:rPr>
        <w:t>形成了工作讨论稿。</w:t>
      </w:r>
    </w:p>
    <w:p>
      <w:pPr>
        <w:ind w:firstLine="640" w:firstLineChars="200"/>
        <w:rPr>
          <w:rFonts w:ascii="仿宋" w:hAnsi="仿宋" w:eastAsia="仿宋"/>
          <w:sz w:val="32"/>
          <w:szCs w:val="32"/>
          <w:highlight w:val="none"/>
        </w:rPr>
      </w:pPr>
      <w:r>
        <w:rPr>
          <w:rFonts w:hint="eastAsia" w:ascii="Times New Roman" w:hAnsi="Times New Roman" w:eastAsia="仿宋_GB2312"/>
          <w:color w:val="000000"/>
          <w:sz w:val="32"/>
          <w:szCs w:val="32"/>
          <w:highlight w:val="none"/>
        </w:rPr>
        <w:t>2018年8月-2018年8月9月，标准</w:t>
      </w:r>
      <w:r>
        <w:rPr>
          <w:rFonts w:hint="eastAsia" w:ascii="仿宋" w:hAnsi="仿宋" w:eastAsia="仿宋"/>
          <w:sz w:val="32"/>
          <w:szCs w:val="32"/>
          <w:highlight w:val="none"/>
        </w:rPr>
        <w:t>起草组查阅了大量专业资料，对标准中的专业术语进行斟酌调整，对标准文本进行反复修改、完善。</w:t>
      </w:r>
    </w:p>
    <w:p>
      <w:pPr>
        <w:ind w:firstLine="640" w:firstLineChars="200"/>
        <w:rPr>
          <w:rFonts w:hint="eastAsia" w:ascii="仿宋" w:hAnsi="仿宋" w:eastAsia="仿宋"/>
          <w:sz w:val="32"/>
          <w:szCs w:val="32"/>
          <w:highlight w:val="none"/>
        </w:rPr>
      </w:pPr>
      <w:r>
        <w:rPr>
          <w:rFonts w:hint="eastAsia" w:ascii="Times New Roman" w:hAnsi="Times New Roman" w:eastAsia="仿宋_GB2312"/>
          <w:color w:val="000000"/>
          <w:sz w:val="32"/>
          <w:szCs w:val="32"/>
          <w:highlight w:val="none"/>
        </w:rPr>
        <w:t>2018年11-2018年12月，标准</w:t>
      </w:r>
      <w:r>
        <w:rPr>
          <w:rFonts w:hint="eastAsia" w:ascii="仿宋" w:hAnsi="仿宋" w:eastAsia="仿宋"/>
          <w:sz w:val="32"/>
          <w:szCs w:val="32"/>
          <w:highlight w:val="none"/>
        </w:rPr>
        <w:t>起草组将标准文本发给多位设计园区管理者、高校教授、企业负责人、设计园主管单位负责人等，根据反馈意见进行讨论，并对标准文本进行修改、完善，形成征求意见稿。</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2019年6月，</w:t>
      </w:r>
      <w:r>
        <w:rPr>
          <w:rFonts w:hint="eastAsia" w:ascii="仿宋" w:hAnsi="仿宋" w:eastAsia="仿宋"/>
          <w:sz w:val="32"/>
          <w:szCs w:val="32"/>
          <w:highlight w:val="none"/>
          <w:lang w:eastAsia="zh-CN"/>
        </w:rPr>
        <w:t>标准起草组组织编写成员对征求意见稿进行讨论，</w:t>
      </w:r>
      <w:r>
        <w:rPr>
          <w:rFonts w:hint="default" w:ascii="仿宋" w:hAnsi="仿宋" w:eastAsia="仿宋"/>
          <w:sz w:val="32"/>
          <w:szCs w:val="32"/>
          <w:highlight w:val="none"/>
          <w:lang w:val="zh-CN" w:eastAsia="zh-CN"/>
        </w:rPr>
        <w:t>借鉴其他地方标准经验、查阅</w:t>
      </w:r>
      <w:r>
        <w:rPr>
          <w:rFonts w:hint="eastAsia" w:ascii="仿宋" w:hAnsi="仿宋" w:eastAsia="仿宋"/>
          <w:sz w:val="32"/>
          <w:szCs w:val="32"/>
          <w:highlight w:val="none"/>
          <w:lang w:val="zh-CN" w:eastAsia="zh-CN"/>
        </w:rPr>
        <w:t>相关</w:t>
      </w:r>
      <w:r>
        <w:rPr>
          <w:rFonts w:hint="default" w:ascii="仿宋" w:hAnsi="仿宋" w:eastAsia="仿宋"/>
          <w:sz w:val="32"/>
          <w:szCs w:val="32"/>
          <w:highlight w:val="none"/>
          <w:lang w:val="zh-CN" w:eastAsia="zh-CN"/>
        </w:rPr>
        <w:t>资料，</w:t>
      </w:r>
      <w:r>
        <w:rPr>
          <w:rFonts w:hint="eastAsia" w:ascii="仿宋" w:hAnsi="仿宋" w:eastAsia="仿宋"/>
          <w:sz w:val="32"/>
          <w:szCs w:val="32"/>
          <w:highlight w:val="none"/>
          <w:lang w:eastAsia="zh-CN"/>
        </w:rPr>
        <w:t>对征求意见稿进行修改。</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2019年11</w:t>
      </w:r>
      <w:r>
        <w:rPr>
          <w:rFonts w:hint="eastAsia" w:ascii="仿宋" w:hAnsi="仿宋" w:eastAsia="仿宋"/>
          <w:sz w:val="32"/>
          <w:szCs w:val="32"/>
          <w:highlight w:val="none"/>
        </w:rPr>
        <w:t>月，在</w:t>
      </w:r>
      <w:r>
        <w:rPr>
          <w:rFonts w:hint="eastAsia" w:ascii="仿宋" w:hAnsi="仿宋" w:eastAsia="仿宋"/>
          <w:sz w:val="32"/>
          <w:szCs w:val="32"/>
          <w:highlight w:val="none"/>
          <w:lang w:eastAsia="zh-CN"/>
        </w:rPr>
        <w:t>湖南省</w:t>
      </w:r>
      <w:r>
        <w:rPr>
          <w:rFonts w:hint="eastAsia" w:ascii="仿宋" w:hAnsi="仿宋" w:eastAsia="仿宋"/>
          <w:sz w:val="32"/>
          <w:szCs w:val="32"/>
          <w:highlight w:val="none"/>
        </w:rPr>
        <w:t>质</w:t>
      </w:r>
      <w:r>
        <w:rPr>
          <w:rFonts w:hint="eastAsia" w:ascii="仿宋" w:hAnsi="仿宋" w:eastAsia="仿宋"/>
          <w:sz w:val="32"/>
          <w:szCs w:val="32"/>
          <w:highlight w:val="none"/>
          <w:lang w:eastAsia="zh-CN"/>
        </w:rPr>
        <w:t>标</w:t>
      </w:r>
      <w:r>
        <w:rPr>
          <w:rFonts w:hint="eastAsia" w:ascii="仿宋" w:hAnsi="仿宋" w:eastAsia="仿宋"/>
          <w:sz w:val="32"/>
          <w:szCs w:val="32"/>
          <w:highlight w:val="none"/>
        </w:rPr>
        <w:t>院邀请有关专家召开了《设计产业园公共服务平台建设和管理规范》研讨会，各专家</w:t>
      </w:r>
      <w:r>
        <w:rPr>
          <w:rFonts w:hint="eastAsia" w:ascii="仿宋" w:hAnsi="仿宋" w:eastAsia="仿宋"/>
          <w:sz w:val="32"/>
          <w:szCs w:val="32"/>
          <w:highlight w:val="none"/>
          <w:lang w:eastAsia="zh-CN"/>
        </w:rPr>
        <w:t>对意见稿</w:t>
      </w:r>
      <w:r>
        <w:rPr>
          <w:rFonts w:hint="eastAsia" w:ascii="仿宋" w:hAnsi="仿宋" w:eastAsia="仿宋"/>
          <w:sz w:val="32"/>
          <w:szCs w:val="32"/>
          <w:highlight w:val="none"/>
        </w:rPr>
        <w:t>提出了修改意见和建议。</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2019年12</w:t>
      </w:r>
      <w:r>
        <w:rPr>
          <w:rFonts w:hint="eastAsia" w:ascii="仿宋" w:hAnsi="仿宋" w:eastAsia="仿宋"/>
          <w:sz w:val="32"/>
          <w:szCs w:val="32"/>
          <w:highlight w:val="none"/>
        </w:rPr>
        <w:t>月，</w:t>
      </w:r>
      <w:r>
        <w:rPr>
          <w:rFonts w:hint="eastAsia" w:ascii="仿宋" w:hAnsi="仿宋" w:eastAsia="仿宋"/>
          <w:sz w:val="32"/>
          <w:szCs w:val="32"/>
          <w:highlight w:val="none"/>
          <w:lang w:eastAsia="zh-CN"/>
        </w:rPr>
        <w:t>根据专家意见和建议对意见稿的部分条款进行完善性修改，形成了标准的征求意见终稿。</w:t>
      </w:r>
    </w:p>
    <w:p>
      <w:pPr>
        <w:pStyle w:val="2"/>
        <w:spacing w:before="0" w:after="0" w:line="568" w:lineRule="exact"/>
        <w:ind w:firstLine="640" w:firstLineChars="200"/>
        <w:rPr>
          <w:rFonts w:ascii="黑体" w:hAnsi="黑体" w:eastAsia="黑体"/>
          <w:b w:val="0"/>
        </w:rPr>
      </w:pPr>
      <w:bookmarkStart w:id="2" w:name="_Toc505259133"/>
      <w:r>
        <w:rPr>
          <w:rFonts w:ascii="黑体" w:hAnsi="黑体" w:eastAsia="黑体"/>
          <w:b w:val="0"/>
        </w:rPr>
        <w:t>二、标准编制原则、主要内容及确定依据</w:t>
      </w:r>
      <w:bookmarkEnd w:id="2"/>
    </w:p>
    <w:p>
      <w:pPr>
        <w:spacing w:line="568"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1 编制原则：</w:t>
      </w:r>
      <w:bookmarkStart w:id="7" w:name="_GoBack"/>
      <w:bookmarkEnd w:id="7"/>
    </w:p>
    <w:p>
      <w:pPr>
        <w:spacing w:line="568" w:lineRule="exact"/>
        <w:ind w:firstLine="640" w:firstLineChars="200"/>
        <w:rPr>
          <w:rFonts w:ascii="仿宋" w:hAnsi="仿宋" w:eastAsia="仿宋"/>
          <w:sz w:val="32"/>
          <w:szCs w:val="32"/>
        </w:rPr>
      </w:pPr>
      <w:r>
        <w:rPr>
          <w:rFonts w:hint="eastAsia" w:ascii="仿宋" w:hAnsi="仿宋" w:eastAsia="仿宋"/>
          <w:sz w:val="32"/>
          <w:szCs w:val="32"/>
        </w:rPr>
        <w:t>本标准为设计产业园公共服务平台的功能、建设和管理等规范。标准编制遵循合理性原则、适用性原则和可操作性原则。</w:t>
      </w:r>
    </w:p>
    <w:p>
      <w:pPr>
        <w:spacing w:line="56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1.1合</w:t>
      </w:r>
      <w:r>
        <w:rPr>
          <w:rFonts w:hint="eastAsia" w:ascii="Times New Roman" w:hAnsi="Times New Roman" w:eastAsia="仿宋_GB2312"/>
          <w:sz w:val="32"/>
          <w:szCs w:val="32"/>
        </w:rPr>
        <w:t>理</w:t>
      </w:r>
      <w:r>
        <w:rPr>
          <w:rFonts w:ascii="Times New Roman" w:hAnsi="Times New Roman" w:eastAsia="仿宋_GB2312"/>
          <w:sz w:val="32"/>
          <w:szCs w:val="32"/>
        </w:rPr>
        <w:t>性原则</w:t>
      </w:r>
    </w:p>
    <w:p>
      <w:pPr>
        <w:spacing w:line="568" w:lineRule="exact"/>
        <w:ind w:firstLine="640" w:firstLineChars="200"/>
        <w:rPr>
          <w:rFonts w:ascii="Times New Roman" w:hAnsi="Times New Roman" w:eastAsia="仿宋_GB2312"/>
          <w:sz w:val="32"/>
          <w:szCs w:val="32"/>
          <w:highlight w:val="yellow"/>
        </w:rPr>
      </w:pPr>
      <w:r>
        <w:rPr>
          <w:rFonts w:hint="eastAsia" w:ascii="仿宋" w:hAnsi="仿宋" w:eastAsia="仿宋"/>
          <w:sz w:val="32"/>
          <w:szCs w:val="32"/>
        </w:rPr>
        <w:t>标准应充分研究湖南省设计企业、设计产业、设计产业园，参照省外发达地区经验，符合湖南省设计产业园特征和产业园内企业的真实需求。</w:t>
      </w:r>
    </w:p>
    <w:p>
      <w:pPr>
        <w:spacing w:line="56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1.2适用性原则</w:t>
      </w:r>
    </w:p>
    <w:p>
      <w:pPr>
        <w:spacing w:line="568" w:lineRule="exact"/>
        <w:ind w:firstLine="640" w:firstLineChars="200"/>
        <w:rPr>
          <w:rFonts w:ascii="仿宋" w:hAnsi="仿宋" w:eastAsia="仿宋"/>
          <w:sz w:val="32"/>
          <w:szCs w:val="32"/>
        </w:rPr>
      </w:pPr>
      <w:r>
        <w:rPr>
          <w:rFonts w:hint="eastAsia" w:ascii="仿宋" w:hAnsi="仿宋" w:eastAsia="仿宋"/>
          <w:sz w:val="32"/>
          <w:szCs w:val="32"/>
        </w:rPr>
        <w:t>设计产业分类众多、覆盖面广，设计产业园性质和运营模式多种多样，地区发展情况不尽相同，标准应适应不同类型、不同地区的设计产业园。</w:t>
      </w:r>
    </w:p>
    <w:p>
      <w:pPr>
        <w:spacing w:line="56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1.4可操作性原则</w:t>
      </w:r>
    </w:p>
    <w:p>
      <w:pPr>
        <w:spacing w:line="568" w:lineRule="exact"/>
        <w:ind w:firstLine="640" w:firstLineChars="200"/>
        <w:rPr>
          <w:rFonts w:ascii="仿宋" w:hAnsi="仿宋" w:eastAsia="仿宋"/>
          <w:sz w:val="32"/>
          <w:szCs w:val="32"/>
        </w:rPr>
      </w:pPr>
      <w:r>
        <w:rPr>
          <w:rFonts w:hint="eastAsia" w:ascii="仿宋" w:hAnsi="仿宋" w:eastAsia="仿宋"/>
          <w:sz w:val="32"/>
          <w:szCs w:val="32"/>
        </w:rPr>
        <w:t>标准应按照目前我省设计产业园发展要求，将公共服务平台的功能、建设和管理做出具体、明确的规定，便于设计产业园管理者和相关单位准确理解标准的要求并进行具体操作。</w:t>
      </w:r>
    </w:p>
    <w:p>
      <w:pPr>
        <w:spacing w:line="568"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2 标准主要内容及确定依据</w:t>
      </w:r>
    </w:p>
    <w:p>
      <w:pPr>
        <w:spacing w:line="56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2.1范围</w:t>
      </w:r>
    </w:p>
    <w:p>
      <w:pPr>
        <w:pStyle w:val="10"/>
        <w:spacing w:line="568" w:lineRule="exact"/>
        <w:ind w:firstLine="640"/>
        <w:rPr>
          <w:rFonts w:ascii="仿宋" w:hAnsi="仿宋" w:eastAsia="仿宋"/>
          <w:kern w:val="2"/>
          <w:sz w:val="32"/>
          <w:szCs w:val="32"/>
        </w:rPr>
      </w:pPr>
      <w:r>
        <w:rPr>
          <w:rFonts w:hint="eastAsia" w:ascii="仿宋" w:hAnsi="仿宋" w:eastAsia="仿宋"/>
          <w:sz w:val="32"/>
          <w:szCs w:val="32"/>
        </w:rPr>
        <w:t>本标准主要内容包括范围、</w:t>
      </w:r>
      <w:r>
        <w:rPr>
          <w:rFonts w:hint="eastAsia" w:ascii="仿宋" w:hAnsi="仿宋" w:eastAsia="仿宋"/>
          <w:kern w:val="2"/>
          <w:sz w:val="32"/>
          <w:szCs w:val="32"/>
        </w:rPr>
        <w:t>术语和定义、基本原则、设计产业园基本要求、公共服务平台基本要求、人才服务功能、成果转化服务功能、品牌推介服务功能、市场对接服务功能、共性技术研发服务功能、金融服务功能、运行管理等。</w:t>
      </w:r>
    </w:p>
    <w:p>
      <w:pPr>
        <w:spacing w:line="56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2.2术语和定义</w:t>
      </w:r>
    </w:p>
    <w:p>
      <w:pPr>
        <w:pStyle w:val="10"/>
        <w:spacing w:line="568" w:lineRule="exact"/>
        <w:ind w:firstLine="640"/>
        <w:rPr>
          <w:rFonts w:ascii="Times New Roman" w:eastAsia="仿宋_GB2312"/>
          <w:kern w:val="2"/>
          <w:sz w:val="32"/>
          <w:szCs w:val="32"/>
          <w:highlight w:val="yellow"/>
        </w:rPr>
      </w:pPr>
      <w:r>
        <w:rPr>
          <w:rFonts w:hint="eastAsia" w:ascii="仿宋" w:hAnsi="仿宋" w:eastAsia="仿宋"/>
          <w:sz w:val="32"/>
          <w:szCs w:val="32"/>
        </w:rPr>
        <w:t>本标准中定义了</w:t>
      </w:r>
      <w:r>
        <w:rPr>
          <w:rFonts w:hint="eastAsia" w:ascii="仿宋" w:hAnsi="仿宋" w:eastAsia="仿宋"/>
          <w:kern w:val="2"/>
          <w:sz w:val="32"/>
          <w:szCs w:val="32"/>
        </w:rPr>
        <w:t>设计产业园、公共服务平台2个术语，</w:t>
      </w:r>
      <w:r>
        <w:rPr>
          <w:rFonts w:hint="eastAsia" w:ascii="Times New Roman" w:eastAsia="仿宋_GB2312"/>
          <w:kern w:val="2"/>
          <w:sz w:val="32"/>
          <w:szCs w:val="32"/>
        </w:rPr>
        <w:t>是根据目前湖南省设计产业发展特点、公共服务平台特征及实际需要自主定义。</w:t>
      </w:r>
    </w:p>
    <w:p>
      <w:pPr>
        <w:pStyle w:val="10"/>
        <w:ind w:firstLine="640"/>
        <w:rPr>
          <w:rFonts w:ascii="Times New Roman" w:eastAsia="仿宋_GB2312"/>
          <w:kern w:val="2"/>
          <w:sz w:val="32"/>
          <w:szCs w:val="32"/>
        </w:rPr>
      </w:pPr>
      <w:r>
        <w:rPr>
          <w:rFonts w:hint="eastAsia" w:ascii="Times New Roman" w:eastAsia="仿宋_GB2312"/>
          <w:kern w:val="2"/>
          <w:sz w:val="32"/>
          <w:szCs w:val="32"/>
        </w:rPr>
        <w:t>2.4 基本原则</w:t>
      </w:r>
    </w:p>
    <w:p>
      <w:pPr>
        <w:pStyle w:val="10"/>
        <w:ind w:firstLine="640"/>
        <w:rPr>
          <w:rFonts w:ascii="仿宋" w:hAnsi="仿宋" w:eastAsia="仿宋"/>
          <w:kern w:val="2"/>
          <w:sz w:val="32"/>
          <w:szCs w:val="32"/>
        </w:rPr>
      </w:pPr>
      <w:r>
        <w:rPr>
          <w:rFonts w:hint="eastAsia" w:ascii="仿宋" w:hAnsi="仿宋" w:eastAsia="仿宋"/>
          <w:kern w:val="2"/>
          <w:sz w:val="32"/>
          <w:szCs w:val="32"/>
        </w:rPr>
        <w:t>标准确定了开放共享、专业易用、安全可靠三个建设的基本原则。</w:t>
      </w:r>
    </w:p>
    <w:p>
      <w:pPr>
        <w:pStyle w:val="10"/>
        <w:ind w:firstLine="640"/>
        <w:rPr>
          <w:rFonts w:ascii="Times New Roman" w:eastAsia="仿宋_GB2312"/>
          <w:kern w:val="2"/>
          <w:sz w:val="32"/>
          <w:szCs w:val="32"/>
        </w:rPr>
      </w:pPr>
      <w:r>
        <w:rPr>
          <w:rFonts w:hint="eastAsia" w:ascii="Times New Roman" w:eastAsia="仿宋_GB2312"/>
          <w:kern w:val="2"/>
          <w:sz w:val="32"/>
          <w:szCs w:val="32"/>
        </w:rPr>
        <w:t>2.5</w:t>
      </w:r>
      <w:r>
        <w:rPr>
          <w:rFonts w:hint="eastAsia"/>
        </w:rPr>
        <w:t xml:space="preserve"> </w:t>
      </w:r>
      <w:r>
        <w:rPr>
          <w:rFonts w:hint="eastAsia" w:ascii="Times New Roman" w:eastAsia="仿宋_GB2312"/>
          <w:kern w:val="2"/>
          <w:sz w:val="32"/>
          <w:szCs w:val="32"/>
        </w:rPr>
        <w:t>设计产业园基本要求</w:t>
      </w:r>
    </w:p>
    <w:p>
      <w:pPr>
        <w:pStyle w:val="10"/>
        <w:ind w:firstLine="640"/>
        <w:rPr>
          <w:rFonts w:ascii="Times New Roman" w:eastAsia="仿宋_GB2312"/>
          <w:kern w:val="2"/>
          <w:sz w:val="32"/>
          <w:szCs w:val="32"/>
        </w:rPr>
      </w:pPr>
      <w:r>
        <w:rPr>
          <w:rFonts w:hint="eastAsia" w:ascii="Times New Roman" w:eastAsia="仿宋_GB2312"/>
          <w:kern w:val="2"/>
          <w:sz w:val="32"/>
          <w:szCs w:val="32"/>
        </w:rPr>
        <w:t>设计产业园的基本要求从基础设施和信息化设施两个方面进行了详细的描述。</w:t>
      </w:r>
    </w:p>
    <w:p>
      <w:pPr>
        <w:pStyle w:val="10"/>
        <w:ind w:firstLine="640"/>
        <w:rPr>
          <w:rFonts w:ascii="Times New Roman" w:eastAsia="仿宋_GB2312"/>
          <w:kern w:val="2"/>
          <w:sz w:val="32"/>
          <w:szCs w:val="32"/>
        </w:rPr>
      </w:pPr>
      <w:r>
        <w:rPr>
          <w:rFonts w:hint="eastAsia" w:ascii="Times New Roman" w:eastAsia="仿宋_GB2312"/>
          <w:kern w:val="2"/>
          <w:sz w:val="32"/>
          <w:szCs w:val="32"/>
        </w:rPr>
        <w:t>2.6 公共服务平台基本要求</w:t>
      </w:r>
    </w:p>
    <w:p>
      <w:pPr>
        <w:pStyle w:val="10"/>
        <w:ind w:firstLine="640"/>
        <w:rPr>
          <w:rFonts w:ascii="仿宋" w:hAnsi="仿宋" w:eastAsia="仿宋"/>
          <w:kern w:val="2"/>
          <w:sz w:val="32"/>
          <w:szCs w:val="32"/>
        </w:rPr>
      </w:pPr>
      <w:r>
        <w:rPr>
          <w:rFonts w:hint="eastAsia" w:ascii="仿宋" w:hAnsi="仿宋" w:eastAsia="仿宋"/>
          <w:kern w:val="2"/>
          <w:sz w:val="32"/>
          <w:szCs w:val="32"/>
        </w:rPr>
        <w:t>由于各设计产业园情况不尽相同，标准提出公共服务平台建设定位应与园区整体个性特征相适应，主要从平台的基础条件和设施设备以及公共服务平台所应具有的集聚资源、服务企业及相关产业的功能等方面提出要求。这些要求主要来自湖南省设计产业园的发展情况和湖南省设计企业的调研分析。</w:t>
      </w:r>
    </w:p>
    <w:p>
      <w:pPr>
        <w:pStyle w:val="10"/>
        <w:ind w:firstLine="640"/>
        <w:rPr>
          <w:rFonts w:ascii="仿宋" w:hAnsi="仿宋" w:eastAsia="仿宋"/>
          <w:kern w:val="2"/>
          <w:sz w:val="32"/>
          <w:szCs w:val="32"/>
        </w:rPr>
      </w:pPr>
      <w:r>
        <w:rPr>
          <w:rFonts w:hint="eastAsia" w:ascii="仿宋" w:hAnsi="仿宋" w:eastAsia="仿宋"/>
          <w:kern w:val="2"/>
          <w:sz w:val="32"/>
          <w:szCs w:val="32"/>
        </w:rPr>
        <w:t>标准对公共服务平台功能的基本要求做了具体阐释，设计产业园首先应该建设人才服务等基础性公共服务平台，根据园区发展情况建设金融服务平台、科研服务平台，根据园区特点特点建设特色公共服务平台。并分别对人才服务平台、成果转化服务平台、品牌推介平台、市场对接服务平台、共性技术研发服务平台、金融服务平台等平台的目的和功能进行详细要求。</w:t>
      </w:r>
    </w:p>
    <w:p>
      <w:pPr>
        <w:pStyle w:val="10"/>
        <w:ind w:firstLine="640"/>
        <w:rPr>
          <w:rFonts w:ascii="仿宋" w:hAnsi="仿宋" w:eastAsia="仿宋"/>
          <w:kern w:val="2"/>
          <w:sz w:val="32"/>
          <w:szCs w:val="32"/>
        </w:rPr>
      </w:pPr>
      <w:r>
        <w:rPr>
          <w:rFonts w:hint="eastAsia" w:ascii="仿宋" w:hAnsi="仿宋" w:eastAsia="仿宋"/>
          <w:kern w:val="2"/>
          <w:sz w:val="32"/>
          <w:szCs w:val="32"/>
        </w:rPr>
        <w:t>2.7 六大服务功能</w:t>
      </w:r>
    </w:p>
    <w:p>
      <w:pPr>
        <w:pStyle w:val="10"/>
        <w:ind w:firstLine="640"/>
        <w:rPr>
          <w:rFonts w:ascii="仿宋" w:hAnsi="仿宋" w:eastAsia="仿宋"/>
          <w:kern w:val="2"/>
          <w:sz w:val="32"/>
          <w:szCs w:val="32"/>
        </w:rPr>
      </w:pPr>
      <w:r>
        <w:rPr>
          <w:rFonts w:hint="eastAsia" w:ascii="仿宋" w:hAnsi="仿宋" w:eastAsia="仿宋"/>
          <w:kern w:val="2"/>
          <w:sz w:val="32"/>
          <w:szCs w:val="32"/>
        </w:rPr>
        <w:t>公共服务平台的六大服务功能主要包括人才服务功能、成果转化服务功能、品牌推介服务功能、市场对接服务功能、共性技术研发服务功能、金融服务功能，标准对六大服务功能从基本要求、服务内容、服务要求等三个方面进行了详细的描述。</w:t>
      </w:r>
    </w:p>
    <w:p>
      <w:pPr>
        <w:pStyle w:val="10"/>
        <w:ind w:firstLine="640"/>
        <w:rPr>
          <w:rFonts w:ascii="仿宋" w:hAnsi="仿宋" w:eastAsia="仿宋"/>
          <w:kern w:val="2"/>
          <w:sz w:val="32"/>
          <w:szCs w:val="32"/>
        </w:rPr>
      </w:pPr>
      <w:r>
        <w:rPr>
          <w:rFonts w:hint="eastAsia" w:ascii="仿宋" w:hAnsi="仿宋" w:eastAsia="仿宋"/>
          <w:kern w:val="2"/>
          <w:sz w:val="32"/>
          <w:szCs w:val="32"/>
        </w:rPr>
        <w:t>2.8 运行管理</w:t>
      </w:r>
    </w:p>
    <w:p>
      <w:pPr>
        <w:pStyle w:val="10"/>
        <w:ind w:firstLine="640"/>
        <w:rPr>
          <w:rFonts w:ascii="仿宋" w:hAnsi="仿宋" w:eastAsia="仿宋"/>
          <w:kern w:val="2"/>
          <w:sz w:val="32"/>
          <w:szCs w:val="32"/>
        </w:rPr>
      </w:pPr>
      <w:r>
        <w:rPr>
          <w:rFonts w:hint="eastAsia" w:ascii="仿宋" w:hAnsi="仿宋" w:eastAsia="仿宋"/>
          <w:kern w:val="2"/>
          <w:sz w:val="32"/>
          <w:szCs w:val="32"/>
        </w:rPr>
        <w:t>运行管理主要从服务资源、人员配置、管理制度、日常管理等四个方面提出了具体的要求。由于公共设计产业的专业特殊性，标准提出设计产业园应引进专业团队进行日常管理运营，为了保证公共服务质量，标准提出应组建监管团队、制定考核、评价体系，对平台运营管理进行监管。这些要求主要来自湖南省设计产业园的经验总结和湖南省设计企业的调研分析。</w:t>
      </w:r>
    </w:p>
    <w:p>
      <w:pPr>
        <w:pStyle w:val="2"/>
        <w:spacing w:before="0" w:after="0" w:line="568" w:lineRule="exact"/>
        <w:ind w:firstLine="640" w:firstLineChars="200"/>
        <w:rPr>
          <w:rFonts w:ascii="黑体" w:hAnsi="黑体" w:eastAsia="黑体"/>
          <w:b w:val="0"/>
        </w:rPr>
      </w:pPr>
      <w:bookmarkStart w:id="3" w:name="_Toc505259134"/>
      <w:r>
        <w:rPr>
          <w:rFonts w:ascii="黑体" w:hAnsi="黑体" w:eastAsia="黑体"/>
          <w:b w:val="0"/>
        </w:rPr>
        <w:t>三、采用国际标准和国外先进标准的程度</w:t>
      </w:r>
      <w:bookmarkEnd w:id="3"/>
    </w:p>
    <w:p>
      <w:pPr>
        <w:spacing w:line="56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本标准为首次制定，不涉及国际国外标准采标情况。</w:t>
      </w:r>
    </w:p>
    <w:p>
      <w:pPr>
        <w:pStyle w:val="2"/>
        <w:spacing w:before="0" w:after="0" w:line="568" w:lineRule="exact"/>
        <w:ind w:firstLine="640" w:firstLineChars="200"/>
        <w:rPr>
          <w:rFonts w:ascii="黑体" w:hAnsi="黑体" w:eastAsia="黑体"/>
          <w:b w:val="0"/>
        </w:rPr>
      </w:pPr>
      <w:bookmarkStart w:id="4" w:name="_Toc505259135"/>
      <w:r>
        <w:rPr>
          <w:rFonts w:ascii="黑体" w:hAnsi="黑体" w:eastAsia="黑体"/>
          <w:b w:val="0"/>
        </w:rPr>
        <w:t>四、与有关的现行法律、法规和强制性国家标准的关系</w:t>
      </w:r>
      <w:bookmarkEnd w:id="4"/>
    </w:p>
    <w:p>
      <w:pPr>
        <w:spacing w:line="56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本标准符合国家现行法律、法规、规章和强制性国家标准的要求。</w:t>
      </w:r>
    </w:p>
    <w:p>
      <w:pPr>
        <w:pStyle w:val="2"/>
        <w:spacing w:before="0" w:after="0" w:line="568" w:lineRule="exact"/>
        <w:ind w:firstLine="640" w:firstLineChars="200"/>
        <w:rPr>
          <w:rFonts w:ascii="黑体" w:hAnsi="黑体" w:eastAsia="黑体"/>
          <w:b w:val="0"/>
        </w:rPr>
      </w:pPr>
      <w:bookmarkStart w:id="5" w:name="_Toc505259136"/>
      <w:r>
        <w:rPr>
          <w:rFonts w:ascii="黑体" w:hAnsi="黑体" w:eastAsia="黑体"/>
          <w:b w:val="0"/>
        </w:rPr>
        <w:t>五、重大分歧意见的处理经过和依据</w:t>
      </w:r>
      <w:bookmarkEnd w:id="5"/>
    </w:p>
    <w:p>
      <w:pPr>
        <w:spacing w:line="56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本标准在制定过程中未出现重大分歧意见。</w:t>
      </w:r>
    </w:p>
    <w:p>
      <w:pPr>
        <w:pStyle w:val="2"/>
        <w:spacing w:before="0" w:after="0" w:line="568" w:lineRule="exact"/>
        <w:ind w:firstLine="640" w:firstLineChars="200"/>
        <w:rPr>
          <w:rFonts w:ascii="黑体" w:hAnsi="黑体" w:eastAsia="黑体"/>
          <w:b w:val="0"/>
        </w:rPr>
      </w:pPr>
      <w:bookmarkStart w:id="6" w:name="_Toc505259137"/>
      <w:r>
        <w:rPr>
          <w:rFonts w:ascii="黑体" w:hAnsi="黑体" w:eastAsia="黑体"/>
          <w:b w:val="0"/>
        </w:rPr>
        <w:t>六、贯彻标准的要求和措施建议</w:t>
      </w:r>
      <w:bookmarkEnd w:id="6"/>
    </w:p>
    <w:p>
      <w:pPr>
        <w:spacing w:line="56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本标准为</w:t>
      </w:r>
      <w:r>
        <w:rPr>
          <w:rFonts w:hint="eastAsia" w:ascii="Times New Roman" w:hAnsi="Times New Roman" w:eastAsia="仿宋_GB2312"/>
          <w:sz w:val="32"/>
          <w:szCs w:val="32"/>
        </w:rPr>
        <w:t>设计产业园</w:t>
      </w:r>
      <w:r>
        <w:rPr>
          <w:rFonts w:ascii="Times New Roman" w:hAnsi="Times New Roman" w:eastAsia="仿宋_GB2312"/>
          <w:sz w:val="32"/>
          <w:szCs w:val="32"/>
        </w:rPr>
        <w:t>管理部门提供技术支撑，也为</w:t>
      </w:r>
      <w:r>
        <w:rPr>
          <w:rFonts w:hint="eastAsia" w:ascii="Times New Roman" w:hAnsi="Times New Roman" w:eastAsia="仿宋_GB2312"/>
          <w:sz w:val="32"/>
          <w:szCs w:val="32"/>
        </w:rPr>
        <w:t>设计产业园公共服务平台的建设方</w:t>
      </w:r>
      <w:r>
        <w:rPr>
          <w:rFonts w:ascii="Times New Roman" w:hAnsi="Times New Roman" w:eastAsia="仿宋_GB2312"/>
          <w:sz w:val="32"/>
          <w:szCs w:val="32"/>
        </w:rPr>
        <w:t>提供指导。为了贯彻本标准实施，加快我省</w:t>
      </w:r>
      <w:r>
        <w:rPr>
          <w:rFonts w:hint="eastAsia" w:ascii="Times New Roman" w:hAnsi="Times New Roman" w:eastAsia="仿宋_GB2312"/>
          <w:sz w:val="32"/>
          <w:szCs w:val="32"/>
        </w:rPr>
        <w:t>设计产业园建设和发展，建议做好以下工作：一是做好相关宣传和指导。由于设计产业分类众多、覆盖面广，设计产业园性质和运营模式多种多样，地区发展情况不尽相同，故需加大标准的宣传以保证标准贯彻效果。二是组织标准归口单位及起草单位为省内设计产业园提供相关指导和咨询。由于公共服务平台内容较多、特征不同，在建设管理中难免会遇到一些困难，标准归口单位及起草单位可在其需要时给予帮助、指导。三是制定配套的激励政策。建议针对本标准制定相关的奖励办法，对符合条件者应给予一定的资金支持或荣誉。最后，管理部门或设计产业园等相关单位可将标准实施过程中出现的问题和改进建议反馈给起草小组，以便对本标准修订完善。</w:t>
      </w:r>
    </w:p>
    <w:p>
      <w:pPr>
        <w:spacing w:line="568" w:lineRule="exact"/>
        <w:jc w:val="right"/>
        <w:rPr>
          <w:rFonts w:ascii="Times New Roman" w:hAnsi="Times New Roman" w:eastAsia="仿宋_GB2312"/>
          <w:sz w:val="32"/>
          <w:szCs w:val="32"/>
        </w:rPr>
      </w:pPr>
    </w:p>
    <w:p>
      <w:pPr>
        <w:tabs>
          <w:tab w:val="left" w:pos="1890"/>
        </w:tabs>
        <w:spacing w:line="568" w:lineRule="exact"/>
        <w:jc w:val="right"/>
        <w:rPr>
          <w:rFonts w:ascii="Times New Roman" w:hAnsi="Times New Roman" w:eastAsia="仿宋_GB2312"/>
          <w:sz w:val="32"/>
          <w:szCs w:val="32"/>
        </w:rPr>
      </w:pPr>
    </w:p>
    <w:p>
      <w:pPr>
        <w:spacing w:line="568" w:lineRule="exact"/>
        <w:ind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 xml:space="preserve">                                       标准起草组</w:t>
      </w:r>
    </w:p>
    <w:p>
      <w:pPr>
        <w:spacing w:line="568"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2018年12月</w:t>
      </w:r>
    </w:p>
    <w:sectPr>
      <w:footerReference r:id="rId3" w:type="default"/>
      <w:footerReference r:id="rId4" w:type="even"/>
      <w:pgSz w:w="11906" w:h="16838"/>
      <w:pgMar w:top="1871" w:right="1531" w:bottom="1531" w:left="1588" w:header="851" w:footer="1304"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szCs w:val="28"/>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8"/>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sz w:val="28"/>
        <w:szCs w:val="28"/>
      </w:rPr>
      <w:t xml:space="preserve"> </w:t>
    </w:r>
    <w:r>
      <w:rPr>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F2B"/>
    <w:rsid w:val="00043114"/>
    <w:rsid w:val="001319BE"/>
    <w:rsid w:val="00182D49"/>
    <w:rsid w:val="001B24DE"/>
    <w:rsid w:val="001B566F"/>
    <w:rsid w:val="003D5737"/>
    <w:rsid w:val="004454E0"/>
    <w:rsid w:val="00474EDA"/>
    <w:rsid w:val="004A3BCF"/>
    <w:rsid w:val="004B4149"/>
    <w:rsid w:val="004D483B"/>
    <w:rsid w:val="0051464B"/>
    <w:rsid w:val="00660858"/>
    <w:rsid w:val="00666029"/>
    <w:rsid w:val="00791DEC"/>
    <w:rsid w:val="007B1495"/>
    <w:rsid w:val="007F5DC7"/>
    <w:rsid w:val="008079D7"/>
    <w:rsid w:val="00816730"/>
    <w:rsid w:val="009450D6"/>
    <w:rsid w:val="0095754A"/>
    <w:rsid w:val="009E59B5"/>
    <w:rsid w:val="00B03AB2"/>
    <w:rsid w:val="00B11D35"/>
    <w:rsid w:val="00B46305"/>
    <w:rsid w:val="00C0341B"/>
    <w:rsid w:val="00C4663F"/>
    <w:rsid w:val="00C57E04"/>
    <w:rsid w:val="00CC50D3"/>
    <w:rsid w:val="00CE62A6"/>
    <w:rsid w:val="00D308FD"/>
    <w:rsid w:val="00D91688"/>
    <w:rsid w:val="00E73631"/>
    <w:rsid w:val="00EC2ACB"/>
    <w:rsid w:val="00F26E02"/>
    <w:rsid w:val="00F53657"/>
    <w:rsid w:val="00F67D93"/>
    <w:rsid w:val="0B212F35"/>
    <w:rsid w:val="0CED5D5A"/>
    <w:rsid w:val="0D4043B9"/>
    <w:rsid w:val="18505B6F"/>
    <w:rsid w:val="19C61A73"/>
    <w:rsid w:val="1A52270F"/>
    <w:rsid w:val="207E74F6"/>
    <w:rsid w:val="348607F4"/>
    <w:rsid w:val="3E26160B"/>
    <w:rsid w:val="46136974"/>
    <w:rsid w:val="49C4645A"/>
    <w:rsid w:val="4BD00EAE"/>
    <w:rsid w:val="4C104850"/>
    <w:rsid w:val="6B927349"/>
    <w:rsid w:val="7466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rPr>
  </w:style>
  <w:style w:type="character" w:styleId="9">
    <w:name w:val="Hyperlink"/>
    <w:unhideWhenUsed/>
    <w:qFormat/>
    <w:uiPriority w:val="99"/>
    <w:rPr>
      <w:color w:val="0000FF"/>
      <w:u w:val="single"/>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
    <w:name w:val="一级条标题"/>
    <w:next w:val="1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15">
    <w:name w:val="页眉 Char"/>
    <w:basedOn w:val="7"/>
    <w:link w:val="5"/>
    <w:qFormat/>
    <w:uiPriority w:val="0"/>
    <w:rPr>
      <w:rFonts w:ascii="Calibri" w:hAnsi="Calibri"/>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9</Pages>
  <Words>568</Words>
  <Characters>3244</Characters>
  <Lines>27</Lines>
  <Paragraphs>7</Paragraphs>
  <TotalTime>4</TotalTime>
  <ScaleCrop>false</ScaleCrop>
  <LinksUpToDate>false</LinksUpToDate>
  <CharactersWithSpaces>3805</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2018-12-25T12:14:00Z</dcterms:created>
  <dc:creator>冷的心热的泪空白的想</dc:creator>
  <cp:lastModifiedBy>高唐散人</cp:lastModifiedBy>
  <cp:lastPrinted>2018-12-29T02:50:00Z</cp:lastPrinted>
  <dcterms:modified xsi:type="dcterms:W3CDTF">2019-12-13T07:33:23Z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